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pacing w:after="200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Договор</w:t>
      </w:r>
      <w:r/>
    </w:p>
    <w:p>
      <w:pPr>
        <w:pStyle w:val="620"/>
        <w:jc w:val="center"/>
        <w:spacing w:after="200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об оказании услуг по предоставлению эксклюзивного обслуживания</w:t>
      </w:r>
      <w:r/>
    </w:p>
    <w:p>
      <w:pPr>
        <w:pStyle w:val="620"/>
        <w:spacing w:after="200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                                                                                  (Пакет)</w:t>
      </w:r>
      <w:r/>
    </w:p>
    <w:p>
      <w:pPr>
        <w:pStyle w:val="620"/>
        <w:jc w:val="right"/>
        <w:spacing w:after="20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“___” ______________ 2021г.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Общество с ограниченной ответственностью “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Руки Вверх Сыктывкар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”, именуемое в дальнейшем «</w:t>
      </w: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Исполнитель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», в лице директора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Уляшева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МА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 , действующего на основании Устава с одной стороны, оказывает эксклюзивные услуги, и, я ____________________________________________ (далее “</w:t>
      </w: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Гость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”) с другой стороны, принимает оказанные услуги и оплачивает их в порядке и на условиях, предусмотренных настоящим договором.</w:t>
      </w:r>
      <w:r/>
    </w:p>
    <w:p>
      <w:pPr>
        <w:pStyle w:val="620"/>
        <w:numPr>
          <w:ilvl w:val="0"/>
          <w:numId w:val="3"/>
        </w:numPr>
        <w:jc w:val="center"/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t xml:space="preserve">Предмет договор</w:t>
      </w: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а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 xml:space="preserve">1.1 Исполнитель оказывает Гостю сформированное комплексное аукционное меню на индивидуальных условиях в баре  «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Руки Вверх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 xml:space="preserve">», расположенном по адресу: г.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Сытывкар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, ул.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Малышева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дом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1</w:t>
      </w:r>
      <w:bookmarkStart w:id="0" w:name="_GoBack"/>
      <w:r/>
      <w:bookmarkEnd w:id="0"/>
      <w:r/>
      <w:r/>
    </w:p>
    <w:p>
      <w:pPr>
        <w:pStyle w:val="620"/>
        <w:jc w:val="both"/>
        <w:spacing w:after="20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бронь на дату:_______________ кол-во чел:________________ время:_______________ стол №:________________</w:t>
      </w:r>
      <w:r/>
    </w:p>
    <w:tbl>
      <w:tblPr>
        <w:tblStyle w:val="624"/>
        <w:tblW w:w="10305" w:type="dxa"/>
        <w:tblInd w:w="-68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460"/>
        <w:gridCol w:w="2805"/>
        <w:gridCol w:w="2955"/>
      </w:tblGrid>
      <w:tr>
        <w:trPr>
          <w:trHeight w:val="300"/>
        </w:trPr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6 200 </w:t>
            </w:r>
            <w:r/>
          </w:p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#ОТДУШИ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9  900</w:t>
            </w:r>
            <w:r/>
          </w:p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#ВСЕВКЛЮЧЕНО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24 500</w:t>
            </w:r>
            <w:r/>
          </w:p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МАЖОР  </w:t>
            </w:r>
            <w:r/>
          </w:p>
        </w:tc>
      </w:tr>
      <w:tr>
        <w:trPr>
          <w:trHeight w:val="78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Набор рассчитан на компанию: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  <w:t xml:space="preserve">до 4 человек</w:t>
            </w:r>
            <w:r/>
          </w:p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z w:val="20"/>
                <w:szCs w:val="20"/>
              </w:rPr>
              <w:t xml:space="preserve">(возможно больше при оплате депозита)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  <w:t xml:space="preserve">до 6 человек</w:t>
            </w:r>
            <w:r/>
          </w:p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z w:val="20"/>
                <w:szCs w:val="20"/>
              </w:rPr>
              <w:t xml:space="preserve">(возможно больше при оплате депозита)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z w:val="20"/>
                <w:szCs w:val="20"/>
              </w:rPr>
              <w:t xml:space="preserve">до 10 человек</w:t>
            </w:r>
            <w:r/>
          </w:p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z w:val="20"/>
                <w:szCs w:val="20"/>
              </w:rPr>
              <w:t xml:space="preserve">(возможно больше при оплате депозита)</w:t>
            </w:r>
            <w:r/>
          </w:p>
        </w:tc>
      </w:tr>
      <w:tr>
        <w:trPr>
          <w:trHeight w:val="138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Часы действия акции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Каждый день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Будни - с 18:00 до 06:00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ПТ и СБ с 18:00 до 22:30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далее депозит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Каждый день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Будни - с 18:00 до 06:00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ПТ и СБ с 18:00 до 22:30</w:t>
            </w:r>
            <w:r/>
          </w:p>
          <w:p>
            <w:pPr>
              <w:pStyle w:val="6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777777"/>
                <w:sz w:val="20"/>
                <w:szCs w:val="20"/>
              </w:rPr>
              <w:t xml:space="preserve">депозита нет до 6 человек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Каждый день</w:t>
            </w:r>
            <w:r/>
          </w:p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 18:00 до 06:00</w:t>
            </w:r>
            <w:r/>
          </w:p>
          <w:p>
            <w:pPr>
              <w:pStyle w:val="620"/>
              <w:jc w:val="center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депозита нет до 10 человек</w:t>
            </w:r>
            <w:r/>
          </w:p>
        </w:tc>
      </w:tr>
      <w:tr>
        <w:trPr>
          <w:trHeight w:val="4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Закуски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Сырное ассорти, 210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Мясное ассорти, 210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Фруктовая тарелка, 700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4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Салаты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“Оливье” ( 280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“Оливье” (280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 или Цезарь с курицей (250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 или Греческий (250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Хлебная корзина, 150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Горячее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Бургер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“СПАЙСИ” или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Бургер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“Классический с говядиной”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Шашлык свиной или шашлык куриный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4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Алкоголь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Игристое вино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Lambrusco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 (750 мл)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бут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Игристое вино “CAVA BRUT”  (750 мл)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бут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Игристое вино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Chandon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brut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(750 мл) или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Коктейль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Aperol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Spritz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”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бут или 5 пор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Водка “Пять озер”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8 пор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Водка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Хаски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8 пор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Водка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Finlandia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25 пор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Виски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Famouse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Grause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 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8 пор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8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Виски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Label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 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8 пор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Виски “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Jack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Daniels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” (40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25 пор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Вино красное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Malbec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Mariposa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, 750 мл</w:t>
            </w:r>
            <w:r/>
          </w:p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или  белое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Pinot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Grigio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Bolla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, 750 мл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 бут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бут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2 бут</w:t>
            </w:r>
            <w:r/>
          </w:p>
        </w:tc>
      </w:tr>
      <w:tr>
        <w:trPr>
          <w:trHeight w:val="4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Безалкогольные напитки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Сок (250 мл) и пепси (330 мл)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 и 4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 и 4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Сок (250 мл) или пепси (330 мл)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12шт или 12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шт</w:t>
            </w:r>
            <w:r/>
          </w:p>
        </w:tc>
      </w:tr>
      <w:tr>
        <w:trPr>
          <w:trHeight w:val="400"/>
        </w:trPr>
        <w:tc>
          <w:tcPr>
            <w:shd w:val="clear" w:fill="D9EAD3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Бонус от Жукова</w:t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shd w:val="clear" w:fill="D9EAD3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Персональное поздравление от ведущего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Принести свой торт-бесценно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Возможность принести свой алкоголь по пробковому сбору</w:t>
            </w:r>
            <w:r/>
          </w:p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(500 руб. с бутылки до 0,75 л, 1 бут = 1 пакет)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Аренда VIP комнаты без доплаты только будни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Караоке БЕЗЛИМИТ (только VIP комната) (только будни)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Сервисный сбор 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от 6 человек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от 6 человек 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от 6 человек</w:t>
            </w:r>
            <w:r/>
          </w:p>
        </w:tc>
      </w:tr>
      <w:tr>
        <w:trPr>
          <w:trHeight w:val="42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Продление банкета до рассвета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</w:t>
            </w:r>
            <w:r/>
          </w:p>
        </w:tc>
      </w:tr>
      <w:tr>
        <w:trPr>
          <w:trHeight w:val="300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ahoma" w:hAnsi="Tahoma" w:cs="Tahoma"/>
                <w:strike/>
                <w:color w:val="000000"/>
                <w:sz w:val="20"/>
                <w:szCs w:val="20"/>
              </w:rPr>
              <w:t xml:space="preserve">12 585</w:t>
            </w:r>
            <w:r>
              <w:rPr>
                <w:rFonts w:ascii="Times New Roman" w:hAnsi="Times New Roman" w:cs="Times New Roman" w:eastAsia="Times New Roman"/>
                <w:strike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trike/>
                <w:sz w:val="20"/>
                <w:szCs w:val="20"/>
              </w:rPr>
              <w:t xml:space="preserve">19 985 руб.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trike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trike/>
                <w:sz w:val="20"/>
                <w:szCs w:val="20"/>
              </w:rPr>
              <w:t xml:space="preserve">0 000 руб.</w:t>
            </w:r>
            <w:r/>
          </w:p>
        </w:tc>
      </w:tr>
      <w:tr>
        <w:trPr>
          <w:trHeight w:val="809"/>
        </w:trPr>
        <w:tc>
          <w:tcPr>
            <w:shd w:val="clear" w:fill="FFFFFF" w:color="auto"/>
            <w:tcBorders>
              <w:left w:val="single" w:color="000000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ИТОГО (со скидкой от С.Жукова):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4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FF"/>
                <w:sz w:val="20"/>
                <w:szCs w:val="20"/>
              </w:rPr>
              <w:t xml:space="preserve">6 200 руб.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FF"/>
                <w:sz w:val="20"/>
                <w:szCs w:val="20"/>
              </w:rPr>
              <w:t xml:space="preserve">9  900 руб.</w:t>
            </w:r>
            <w:r/>
          </w:p>
        </w:tc>
        <w:tc>
          <w:tcPr>
            <w:shd w:val="clear" w:fill="FFFFFF" w:color="auto"/>
            <w:tcBorders>
              <w:left w:val="single" w:color="CCCCCC" w:sz="6" w:space="0"/>
              <w:top w:val="single" w:color="CCCCCC" w:sz="6" w:space="0"/>
              <w:right w:val="single" w:color="000000" w:sz="6" w:space="0"/>
              <w:bottom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FF"/>
                <w:sz w:val="20"/>
                <w:szCs w:val="20"/>
              </w:rPr>
              <w:t xml:space="preserve">24  900 </w:t>
            </w:r>
            <w:r>
              <w:rPr>
                <w:rFonts w:ascii="Times New Roman" w:hAnsi="Times New Roman" w:cs="Times New Roman" w:eastAsia="Times New Roman"/>
                <w:b/>
                <w:color w:val="FF00FF"/>
                <w:sz w:val="20"/>
                <w:szCs w:val="20"/>
              </w:rPr>
              <w:t xml:space="preserve">руб</w:t>
            </w:r>
            <w:r/>
          </w:p>
        </w:tc>
      </w:tr>
    </w:tbl>
    <w:p>
      <w:pPr>
        <w:pStyle w:val="62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Исполнитель обязуется предоставить Гостю содержимое согласованного стола в согласованных сторонами объемах.</w:t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Предложение действует на неограниченное число лиц, но рекомендуемое число гостей за одним столом варьируется.</w:t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Понятие «депозит» предполагает открытие счёта на заказ блюд и напитков согласно основного меню в баре «Руки Вверх».</w:t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При заказе Гостем позиций из обычного меню, на них не распространяются скидки, рекламные и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скидочные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акции.</w:t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Вход в бар для Гостя и его приглашенных друзей по забронированному заранее и оплаченному депозиту является бесплатным.</w:t>
      </w:r>
      <w:r/>
    </w:p>
    <w:p>
      <w:pPr>
        <w:pStyle w:val="620"/>
        <w:numPr>
          <w:ilvl w:val="1"/>
          <w:numId w:val="1"/>
        </w:numPr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При сокращении числа приглашенных друзей Гостя стоимость депозита не возвращается.</w:t>
      </w:r>
      <w:r/>
    </w:p>
    <w:p>
      <w:pPr>
        <w:pStyle w:val="620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Цена договора и порядок расчетов.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2.1 Гость заключает настоящий договор путем подписания договора либо в форме бронирования столика с указанием условий по выбранному классу обслуживания посредством телефонного сообщения.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2.2 При выборе условий Гость согласовывает дату, время и конкретный столик в баре.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2.3 Гость вносит предоплату в размере 100% не позднее 1-го календарного дня до мероприятия.</w:t>
      </w:r>
      <w:r/>
    </w:p>
    <w:p>
      <w:pPr>
        <w:pStyle w:val="6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2.4 Если до оказания услуг Исполнителем остается менее 7 календарных дней,  Предоплата, внесенная Гостем, не возвращается, так как предложение данного договора является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акционным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</w:t>
      </w:r>
      <w:r/>
    </w:p>
    <w:p>
      <w:pPr>
        <w:pStyle w:val="62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2.5 Если количество гостей составляет 6 человек и более - взимается сервисный сбор 10% от суммы стола </w:t>
      </w:r>
      <w:r/>
    </w:p>
    <w:p>
      <w:pPr>
        <w:pStyle w:val="620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3.Реквизиты сторон</w:t>
      </w:r>
      <w:r/>
    </w:p>
    <w:tbl>
      <w:tblPr>
        <w:tblStyle w:val="625"/>
        <w:tblW w:w="9555" w:type="dxa"/>
        <w:tblInd w:w="15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3720"/>
      </w:tblGrid>
      <w:tr>
        <w:trPr/>
        <w:tc>
          <w:tcPr>
            <w:tcW w:w="5835" w:type="dxa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pStyle w:val="620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«Исполнитель»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Руки Вверх Сыктывкар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ОГРН: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1211100003234    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ИНН: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1101172047 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КПП: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110101001 </w:t>
            </w:r>
            <w:r/>
          </w:p>
          <w:p>
            <w:pPr>
              <w:pStyle w:val="6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г. Сыктывкар, ул. Малышева, д.1</w:t>
            </w:r>
            <w:r/>
          </w:p>
          <w:p>
            <w:pPr>
              <w:pStyle w:val="62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8(8212)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33-13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Р/с: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40702810528000006164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</w:rPr>
              <w:br/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Банк: КОМИ ОТДЕЛЕНИЕ N8617 ПАО СБЕРБАНК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048702640 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>
              <w:rPr>
                <w:rFonts w:ascii="Helvetica" w:hAnsi="Helvetica" w:cs="Times New Roman" w:eastAsia="Times New Roman"/>
                <w:color w:val="2C2D2E"/>
                <w:sz w:val="23"/>
                <w:szCs w:val="23"/>
                <w:shd w:val="clear" w:fill="FFFFFF" w:color="auto"/>
              </w:rPr>
              <w:t xml:space="preserve">30101810400000000640</w:t>
            </w:r>
            <w:r/>
          </w:p>
          <w:p>
            <w:pPr>
              <w:pStyle w:val="62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Уляшев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  <w:r/>
          </w:p>
          <w:p>
            <w:pPr>
              <w:pStyle w:val="620"/>
              <w:rPr>
                <w:rFonts w:ascii="PT Sans" w:hAnsi="PT Sans" w:cs="PT Sans" w:eastAsia="PT Sans"/>
              </w:rPr>
            </w:pPr>
            <w:r>
              <w:rPr>
                <w:rFonts w:ascii="PT Sans" w:hAnsi="PT Sans" w:cs="PT Sans" w:eastAsia="PT Sans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директор  _________________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Уляшев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МА</w:t>
            </w:r>
            <w:r/>
          </w:p>
        </w:tc>
        <w:tc>
          <w:tcPr>
            <w:tcW w:w="3720" w:type="dxa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«Гость»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Фамилия _______________________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Имя ___________________________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Отчество _______________________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Телефон:________________________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Подпись __________________         </w:t>
            </w:r>
            <w:r/>
          </w:p>
        </w:tc>
      </w:tr>
    </w:tbl>
    <w:p>
      <w:pPr>
        <w:pStyle w:val="620"/>
        <w:rPr>
          <w:rFonts w:ascii="Times New Roman" w:hAnsi="Times New Roman" w:cs="Times New Roman" w:eastAsia="Times New Roman"/>
          <w:b/>
          <w:sz w:val="20"/>
          <w:szCs w:val="20"/>
        </w:rPr>
      </w:pPr>
      <w:r>
        <w:rPr>
          <w:rFonts w:ascii="Times New Roman" w:hAnsi="Times New Roman" w:cs="Times New Roman" w:eastAsia="Times New Roman"/>
          <w:b/>
          <w:sz w:val="20"/>
          <w:szCs w:val="20"/>
        </w:rPr>
      </w:r>
      <w:r/>
    </w:p>
    <w:p>
      <w:pPr>
        <w:pStyle w:val="620"/>
      </w:pPr>
      <w:r/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604020202020204"/>
  </w:font>
  <w:font w:name="helvetica">
    <w:panose1 w:val="020B0604020202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1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14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34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1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14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34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1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14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34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ru-RU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7"/>
    <w:link w:val="6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17"/>
    <w:link w:val="61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17"/>
    <w:link w:val="61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17"/>
    <w:link w:val="61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17"/>
    <w:link w:val="61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17"/>
    <w:link w:val="61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0"/>
    <w:next w:val="61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1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0"/>
    <w:next w:val="61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1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0"/>
    <w:next w:val="61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1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17"/>
    <w:link w:val="622"/>
    <w:uiPriority w:val="10"/>
    <w:rPr>
      <w:sz w:val="48"/>
      <w:szCs w:val="48"/>
    </w:rPr>
  </w:style>
  <w:style w:type="character" w:styleId="35">
    <w:name w:val="Subtitle Char"/>
    <w:basedOn w:val="617"/>
    <w:link w:val="623"/>
    <w:uiPriority w:val="11"/>
    <w:rPr>
      <w:sz w:val="24"/>
      <w:szCs w:val="24"/>
    </w:rPr>
  </w:style>
  <w:style w:type="paragraph" w:styleId="36">
    <w:name w:val="Quote"/>
    <w:basedOn w:val="610"/>
    <w:next w:val="61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0"/>
    <w:next w:val="61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7"/>
    <w:link w:val="40"/>
    <w:uiPriority w:val="99"/>
  </w:style>
  <w:style w:type="paragraph" w:styleId="42">
    <w:name w:val="Footer"/>
    <w:basedOn w:val="61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7"/>
    <w:link w:val="42"/>
    <w:uiPriority w:val="99"/>
  </w:style>
  <w:style w:type="paragraph" w:styleId="44">
    <w:name w:val="Caption"/>
    <w:basedOn w:val="610"/>
    <w:next w:val="6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7"/>
    <w:uiPriority w:val="99"/>
    <w:unhideWhenUsed/>
    <w:rPr>
      <w:vertAlign w:val="superscript"/>
    </w:rPr>
  </w:style>
  <w:style w:type="paragraph" w:styleId="176">
    <w:name w:val="endnote text"/>
    <w:basedOn w:val="61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7"/>
    <w:uiPriority w:val="99"/>
    <w:semiHidden/>
    <w:unhideWhenUsed/>
    <w:rPr>
      <w:vertAlign w:val="superscript"/>
    </w:rPr>
  </w:style>
  <w:style w:type="paragraph" w:styleId="179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qFormat/>
  </w:style>
  <w:style w:type="paragraph" w:styleId="611">
    <w:name w:val="Heading 1"/>
    <w:basedOn w:val="620"/>
    <w:next w:val="620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612">
    <w:name w:val="Heading 2"/>
    <w:basedOn w:val="620"/>
    <w:next w:val="620"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613">
    <w:name w:val="Heading 3"/>
    <w:basedOn w:val="620"/>
    <w:next w:val="620"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614">
    <w:name w:val="Heading 4"/>
    <w:basedOn w:val="620"/>
    <w:next w:val="620"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615">
    <w:name w:val="Heading 5"/>
    <w:basedOn w:val="620"/>
    <w:next w:val="620"/>
    <w:rPr>
      <w:color w:val="666666"/>
    </w:rPr>
    <w:pPr>
      <w:keepLines/>
      <w:keepNext/>
      <w:spacing w:after="80" w:before="240"/>
      <w:outlineLvl w:val="4"/>
    </w:pPr>
  </w:style>
  <w:style w:type="paragraph" w:styleId="616">
    <w:name w:val="Heading 6"/>
    <w:basedOn w:val="620"/>
    <w:next w:val="620"/>
    <w:rPr>
      <w:i/>
      <w:color w:val="666666"/>
    </w:rPr>
    <w:pPr>
      <w:keepLines/>
      <w:keepNext/>
      <w:spacing w:after="80" w:before="240"/>
      <w:outlineLvl w:val="5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customStyle="1">
    <w:name w:val="Обычный1"/>
  </w:style>
  <w:style w:type="table" w:styleId="62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Title"/>
    <w:basedOn w:val="620"/>
    <w:next w:val="620"/>
    <w:rPr>
      <w:sz w:val="52"/>
      <w:szCs w:val="52"/>
    </w:rPr>
    <w:pPr>
      <w:keepLines/>
      <w:keepNext/>
      <w:spacing w:after="60"/>
    </w:pPr>
  </w:style>
  <w:style w:type="paragraph" w:styleId="623">
    <w:name w:val="Subtitle"/>
    <w:basedOn w:val="620"/>
    <w:next w:val="620"/>
    <w:rPr>
      <w:color w:val="666666"/>
      <w:sz w:val="30"/>
      <w:szCs w:val="30"/>
    </w:rPr>
    <w:pPr>
      <w:keepLines/>
      <w:keepNext/>
      <w:spacing w:after="320"/>
    </w:pPr>
  </w:style>
  <w:style w:type="table" w:styleId="624" w:customStyle="1">
    <w:name w:val="StGen0"/>
    <w:basedOn w:val="621"/>
    <w:pPr>
      <w:spacing w:lineRule="auto" w:line="24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25" w:customStyle="1">
    <w:name w:val="StGen1"/>
    <w:basedOn w:val="621"/>
    <w:pPr>
      <w:spacing w:lineRule="auto" w:line="24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Карпов</cp:lastModifiedBy>
  <cp:revision>6</cp:revision>
  <dcterms:created xsi:type="dcterms:W3CDTF">2021-10-06T06:21:00Z</dcterms:created>
  <dcterms:modified xsi:type="dcterms:W3CDTF">2021-11-22T15:31:12Z</dcterms:modified>
</cp:coreProperties>
</file>